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Version 20190215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  <w:t xml:space="preserve">Änderungen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Änderungen gegenüber der letzten Version (20150707):</w:t>
      </w:r>
    </w:p>
    <w:p>
      <w:pPr>
        <w:numPr>
          <w:ilvl w:val="0"/>
          <w:numId w:val="4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DAP V1.5 entfernt</w:t>
      </w:r>
    </w:p>
    <w:p>
      <w:pPr>
        <w:numPr>
          <w:ilvl w:val="0"/>
          <w:numId w:val="4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Softwareversion auf V1.0.14 geändert</w:t>
      </w:r>
    </w:p>
    <w:p>
      <w:pPr>
        <w:numPr>
          <w:ilvl w:val="0"/>
          <w:numId w:val="4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MaxInputLength="256" auf MaxInputLength="272" geändert</w:t>
      </w:r>
    </w:p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Version 20150707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  <w:t xml:space="preserve">Änderungen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Änderungen gegenüber der letzten Version (20150622):</w:t>
      </w:r>
    </w:p>
    <w:p>
      <w:pPr>
        <w:numPr>
          <w:ilvl w:val="0"/>
          <w:numId w:val="8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I&amp;M 4 entfernt </w:t>
      </w:r>
    </w:p>
    <w:p>
      <w:pPr>
        <w:numPr>
          <w:ilvl w:val="0"/>
          <w:numId w:val="8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Softwareversion auf V1.0.4 geändert</w:t>
      </w:r>
    </w:p>
    <w:p>
      <w:pPr>
        <w:numPr>
          <w:ilvl w:val="0"/>
          <w:numId w:val="8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Vendor-Name korrigiert</w:t>
      </w:r>
    </w:p>
    <w:p>
      <w:pPr>
        <w:numPr>
          <w:ilvl w:val="0"/>
          <w:numId w:val="8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Bitmap-Zuordnungen korrigiert</w:t>
      </w:r>
    </w:p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Version 20150622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  <w:t xml:space="preserve">Änderungen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Änderungen gegenüber der letzten Version (20141120):</w:t>
      </w:r>
    </w:p>
    <w:p>
      <w:pPr>
        <w:numPr>
          <w:ilvl w:val="0"/>
          <w:numId w:val="12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Anpassung des GSDML-Schema auf V2.31:</w:t>
      </w:r>
    </w:p>
    <w:p>
      <w:pPr>
        <w:numPr>
          <w:ilvl w:val="0"/>
          <w:numId w:val="12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Für T1: GSDML-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V2.31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-ETA-CPC10PN-T1-COM -20150622.xml</w:t>
      </w:r>
    </w:p>
    <w:p>
      <w:pPr>
        <w:numPr>
          <w:ilvl w:val="0"/>
          <w:numId w:val="12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Für T4: GSDML-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V2.31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-ETA-CPC10PN-T4-COM -20150622.xml</w:t>
      </w:r>
    </w:p>
    <w:p>
      <w:pPr>
        <w:numPr>
          <w:ilvl w:val="0"/>
          <w:numId w:val="12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Fast Startup Definition korrigiert.</w:t>
      </w:r>
    </w:p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Version 20141120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  <w:t xml:space="preserve">Änderungen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Änderungen gegenüber der letzten Version (20140910):</w:t>
      </w:r>
    </w:p>
    <w:p>
      <w:pPr>
        <w:numPr>
          <w:ilvl w:val="0"/>
          <w:numId w:val="18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Jetzt gibt es zwei getrennte GSDML-Dateien:</w:t>
      </w:r>
    </w:p>
    <w:p>
      <w:pPr>
        <w:numPr>
          <w:ilvl w:val="0"/>
          <w:numId w:val="18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Für T1: GSDML-V2.25-ETA-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CPC10PN-T1-COM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-20141120.xml</w:t>
      </w:r>
    </w:p>
    <w:p>
      <w:pPr>
        <w:numPr>
          <w:ilvl w:val="0"/>
          <w:numId w:val="18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Für T4: GSDML-V2.25-ETA-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CPC10PN-T4-COM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-20141120.xml</w:t>
      </w:r>
    </w:p>
    <w:p>
      <w:pPr>
        <w:numPr>
          <w:ilvl w:val="0"/>
          <w:numId w:val="18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GSDML-Dateien haben jetzt neue Device-ID’s:</w:t>
      </w:r>
    </w:p>
    <w:p>
      <w:pPr>
        <w:numPr>
          <w:ilvl w:val="0"/>
          <w:numId w:val="18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Für T1: 0x079C</w:t>
      </w:r>
    </w:p>
    <w:p>
      <w:pPr>
        <w:numPr>
          <w:ilvl w:val="0"/>
          <w:numId w:val="18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Für T4: 0x079D</w:t>
      </w:r>
    </w:p>
    <w:p>
      <w:pPr>
        <w:numPr>
          <w:ilvl w:val="0"/>
          <w:numId w:val="18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DnsCompatibleName auf CPC10PN-T1 (bzw. T4) geändert</w:t>
      </w:r>
    </w:p>
    <w:p>
      <w:pPr>
        <w:numPr>
          <w:ilvl w:val="0"/>
          <w:numId w:val="18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Bestellnummern wurden geändert.</w:t>
      </w:r>
    </w:p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Version GSDML-V2.25-ETA-CPC10PN-COM-20140910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  <w:t xml:space="preserve">Änderungen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Änderungen gegenüber der letzten Version (20140909):</w:t>
      </w:r>
    </w:p>
    <w:p>
      <w:pPr>
        <w:numPr>
          <w:ilvl w:val="0"/>
          <w:numId w:val="26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Dateiname entsprechend der neuen Device-Bezeichnung auf GSDML-V2.25-ETA-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CPC10PN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-T4-COM-20140910.xml geändert</w:t>
      </w:r>
    </w:p>
    <w:p>
      <w:pPr>
        <w:numPr>
          <w:ilvl w:val="0"/>
          <w:numId w:val="26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DnsCompatibleName auf CPC10PN-T4 geändert</w:t>
      </w:r>
    </w:p>
    <w:p>
      <w:pPr>
        <w:numPr>
          <w:ilvl w:val="0"/>
          <w:numId w:val="26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Datenmodell geändert, da HMS ABCC keine I/O-Daten im Slot 0 (DAP) erlaubt.  Deshalb wurden die Device-I/O’s in ein neues (fixes) Modul in Slot 1 ausgelagert. Damit verschieben sich die I/O-Daten der SVS200-PWR-Module auf Slots 2…5.</w:t>
      </w:r>
    </w:p>
    <w:p>
      <w:pPr>
        <w:numPr>
          <w:ilvl w:val="0"/>
          <w:numId w:val="26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Alle Modulvarianten implementiert: 4,8,12,16,20,24</w:t>
      </w:r>
    </w:p>
    <w:p>
      <w:pPr>
        <w:numPr>
          <w:ilvl w:val="0"/>
          <w:numId w:val="26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Datenmodell geändert – es gibt ein „gemeinsames“ Submodul für den Summenstrom.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  <w:t xml:space="preserve">Datenmodell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2"/>
          <w:shd w:fill="auto" w:val="clear"/>
        </w:rPr>
        <w:t xml:space="preserve">Allgemeines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Ein SVS200 Gateway hat 4 Anschlüsse für SVS200-PWR Boards. SVS200-PWR Boards sind rein passiv und es gibt Varianten mit unterschiedlicher Anzahl Steckplätze (für 4…24 Schutzschalter).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2"/>
          <w:shd w:fill="auto" w:val="clear"/>
        </w:rPr>
        <w:t xml:space="preserve">Device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Das Device entspricht einem SVS200 Gateway. Das Device hat folgende Eigenschaften:</w:t>
      </w:r>
    </w:p>
    <w:p>
      <w:pPr>
        <w:numPr>
          <w:ilvl w:val="0"/>
          <w:numId w:val="31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 Byte I/O für Status/Diagnose (Out ist momentan nicht verwendet). Da das HMS ABCC kein I/O für das Device (DAP, Slot 0) erlaubt, wird das Device-I/O auf Slot 1 gemappt.</w:t>
      </w:r>
    </w:p>
    <w:p>
      <w:pPr>
        <w:numPr>
          <w:ilvl w:val="0"/>
          <w:numId w:val="31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 Modul-Slots entsprechend den 4 LIN Bus Anschlüssen.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2"/>
          <w:shd w:fill="auto" w:val="clear"/>
        </w:rPr>
        <w:t xml:space="preserve">Modul in Slot 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Das Modul in Slot 1 ist fix (mit einem virtuellen Submodul) und stellt das Device-I/O zur Verfügung.  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2"/>
          <w:shd w:fill="auto" w:val="clear"/>
        </w:rPr>
        <w:t xml:space="preserve">Module in Slots 2..5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Ein Modul entspricht einem SVS200-PWR-Board, angeschlossen an einem der LIN Bus Anschlüssen des SVS200 Gateways. Ein Modul hat die folgenden Eigenschaften:</w:t>
      </w:r>
    </w:p>
    <w:p>
      <w:pPr>
        <w:numPr>
          <w:ilvl w:val="0"/>
          <w:numId w:val="36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 gibt Modultypen entsprechend der Anzahl Steckplätze der SVS200-PWR Boards: 4, 8, 12, 16, 20, 24</w:t>
      </w:r>
    </w:p>
    <w:p>
      <w:pPr>
        <w:numPr>
          <w:ilvl w:val="0"/>
          <w:numId w:val="36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 Sub-Modul-Steckplätze wir folgt</w:t>
      </w:r>
    </w:p>
    <w:p>
      <w:pPr>
        <w:numPr>
          <w:ilvl w:val="0"/>
          <w:numId w:val="36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Steckplatz #1: Summenstrom-Modul (1 Wort Out) oder Leer</w:t>
      </w:r>
    </w:p>
    <w:p>
      <w:pPr>
        <w:numPr>
          <w:ilvl w:val="0"/>
          <w:numId w:val="36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Steckplatz #2: Digital-I/O (1 Byte In/Out pro Schutzschalter) oder Leer</w:t>
      </w:r>
    </w:p>
    <w:p>
      <w:pPr>
        <w:numPr>
          <w:ilvl w:val="0"/>
          <w:numId w:val="36"/>
        </w:numPr>
        <w:spacing w:before="0" w:after="200" w:line="276"/>
        <w:ind w:right="0" w:left="144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Steckplatz #3: Messwerte (4 Byte Out pro Schutzschalter)</w:t>
      </w:r>
    </w:p>
    <w:p>
      <w:pPr>
        <w:numPr>
          <w:ilvl w:val="0"/>
          <w:numId w:val="36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Pro Modul gibt es einen Satz von drei Submodultypen mit der entsprechenden I/O-Größe, also z.B. für das 4-fach Modul ein Steckplatz #2 Submodul mit 4 Bytes I/O.</w:t>
      </w:r>
    </w:p>
    <w:p>
      <w:pPr>
        <w:keepNext w:val="true"/>
        <w:keepLines w:val="true"/>
        <w:spacing w:before="200" w:after="0" w:line="276"/>
        <w:ind w:right="0" w:left="0" w:firstLine="0"/>
        <w:jc w:val="left"/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</w:pPr>
      <w:r>
        <w:rPr>
          <w:rFonts w:ascii="Cambria" w:hAnsi="Cambria" w:cs="Cambria" w:eastAsia="Cambria"/>
          <w:b/>
          <w:color w:val="4F81BD"/>
          <w:spacing w:val="0"/>
          <w:position w:val="0"/>
          <w:sz w:val="26"/>
          <w:shd w:fill="auto" w:val="clear"/>
        </w:rPr>
        <w:t xml:space="preserve">Offene Punkte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(keine)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num w:numId="4">
    <w:abstractNumId w:val="36"/>
  </w:num>
  <w:num w:numId="8">
    <w:abstractNumId w:val="30"/>
  </w:num>
  <w:num w:numId="12">
    <w:abstractNumId w:val="24"/>
  </w:num>
  <w:num w:numId="18">
    <w:abstractNumId w:val="18"/>
  </w:num>
  <w:num w:numId="26">
    <w:abstractNumId w:val="12"/>
  </w:num>
  <w:num w:numId="31">
    <w:abstractNumId w:val="6"/>
  </w:num>
  <w:num w:numId="3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